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72" w:rsidRDefault="00814E7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Appendix 1. </w:t>
      </w:r>
      <w:r>
        <w:rPr>
          <w:rFonts w:ascii="Times New Roman" w:hAnsi="Times New Roman" w:cs="Times New Roman"/>
          <w:sz w:val="24"/>
          <w:szCs w:val="24"/>
        </w:rPr>
        <w:t>Location of patches where surveys were carried out in the surroundings of Plovdiv, Bulgaria.</w:t>
      </w:r>
    </w:p>
    <w:p w:rsidR="00332A72" w:rsidRDefault="00332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8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418"/>
        <w:gridCol w:w="1418"/>
      </w:tblGrid>
      <w:tr w:rsidR="00332A72">
        <w:trPr>
          <w:trHeight w:val="240"/>
        </w:trPr>
        <w:tc>
          <w:tcPr>
            <w:tcW w:w="114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</w:t>
            </w:r>
          </w:p>
        </w:tc>
        <w:tc>
          <w:tcPr>
            <w:tcW w:w="141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 (°N)</w:t>
            </w:r>
          </w:p>
        </w:tc>
        <w:tc>
          <w:tcPr>
            <w:tcW w:w="141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 (°E)</w:t>
            </w:r>
          </w:p>
        </w:tc>
      </w:tr>
      <w:tr w:rsidR="00332A72">
        <w:trPr>
          <w:trHeight w:val="240"/>
        </w:trPr>
        <w:tc>
          <w:tcPr>
            <w:tcW w:w="114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42.1424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24.7005</w:t>
            </w: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42.1560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42.1622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24.7972</w:t>
            </w: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42.1510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24.8828</w:t>
            </w: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42.1246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24.8686</w:t>
            </w:r>
          </w:p>
        </w:tc>
      </w:tr>
      <w:tr w:rsidR="00332A72">
        <w:trPr>
          <w:trHeight w:val="240"/>
        </w:trPr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42.2286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24.8579</w:t>
            </w:r>
          </w:p>
        </w:tc>
      </w:tr>
      <w:tr w:rsidR="00332A72">
        <w:trPr>
          <w:trHeight w:val="240"/>
        </w:trPr>
        <w:tc>
          <w:tcPr>
            <w:tcW w:w="1148" w:type="dxa"/>
            <w:tcBorders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42.1498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25.1382</w:t>
            </w:r>
          </w:p>
        </w:tc>
      </w:tr>
    </w:tbl>
    <w:p w:rsidR="00332A72" w:rsidRDefault="00332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72" w:rsidRDefault="00332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72" w:rsidRDefault="00814E7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Appendix 2. </w:t>
      </w:r>
      <w:r>
        <w:rPr>
          <w:rFonts w:ascii="Times New Roman" w:hAnsi="Times New Roman" w:cs="Times New Roman"/>
          <w:sz w:val="24"/>
          <w:szCs w:val="24"/>
        </w:rPr>
        <w:t>Population density values.</w:t>
      </w:r>
    </w:p>
    <w:p w:rsidR="00332A72" w:rsidRDefault="00332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2127"/>
      </w:tblGrid>
      <w:tr w:rsidR="00332A72">
        <w:tc>
          <w:tcPr>
            <w:tcW w:w="1100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Density (ind./km²)</w:t>
            </w:r>
          </w:p>
        </w:tc>
      </w:tr>
      <w:tr w:rsidR="00332A72">
        <w:tc>
          <w:tcPr>
            <w:tcW w:w="1100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1953.5</w:t>
            </w:r>
          </w:p>
        </w:tc>
      </w:tr>
      <w:tr w:rsidR="00332A72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1614.3</w:t>
            </w:r>
          </w:p>
        </w:tc>
      </w:tr>
      <w:tr w:rsidR="00332A72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1284.9</w:t>
            </w:r>
          </w:p>
        </w:tc>
      </w:tr>
      <w:tr w:rsidR="00332A72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461.24</w:t>
            </w:r>
          </w:p>
        </w:tc>
      </w:tr>
      <w:tr w:rsidR="00332A72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461.24</w:t>
            </w:r>
          </w:p>
        </w:tc>
      </w:tr>
      <w:tr w:rsidR="00332A72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807.16</w:t>
            </w:r>
          </w:p>
        </w:tc>
      </w:tr>
    </w:tbl>
    <w:p w:rsidR="00332A72" w:rsidRDefault="00332A72">
      <w:pPr>
        <w:rPr>
          <w:rFonts w:ascii="Times New Roman" w:hAnsi="Times New Roman" w:cs="Times New Roman"/>
          <w:sz w:val="24"/>
          <w:szCs w:val="24"/>
        </w:rPr>
      </w:pPr>
    </w:p>
    <w:p w:rsidR="00332A72" w:rsidRDefault="00814E74">
      <w:r>
        <w:rPr>
          <w:rFonts w:ascii="Times New Roman" w:hAnsi="Times New Roman" w:cs="Times New Roman"/>
          <w:b/>
          <w:sz w:val="24"/>
          <w:szCs w:val="24"/>
        </w:rPr>
        <w:t xml:space="preserve">Appendix 3. </w:t>
      </w:r>
      <w:r>
        <w:rPr>
          <w:rFonts w:ascii="Times New Roman" w:hAnsi="Times New Roman" w:cs="Times New Roman"/>
          <w:sz w:val="24"/>
          <w:szCs w:val="24"/>
        </w:rPr>
        <w:t>Predictor variables for each patch.</w:t>
      </w:r>
    </w:p>
    <w:p w:rsidR="00332A72" w:rsidRDefault="00814E74">
      <w:r>
        <w:rPr>
          <w:rFonts w:ascii="Times New Roman" w:hAnsi="Times New Roman" w:cs="Times New Roman"/>
          <w:sz w:val="24"/>
          <w:szCs w:val="24"/>
        </w:rPr>
        <w:t>Table A3.1. Patch characteristics</w:t>
      </w:r>
    </w:p>
    <w:tbl>
      <w:tblPr>
        <w:tblW w:w="621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1199"/>
        <w:gridCol w:w="1862"/>
        <w:gridCol w:w="938"/>
        <w:gridCol w:w="1277"/>
      </w:tblGrid>
      <w:tr w:rsidR="00332A72">
        <w:trPr>
          <w:trHeight w:val="240"/>
        </w:trPr>
        <w:tc>
          <w:tcPr>
            <w:tcW w:w="942" w:type="dxa"/>
            <w:tcBorders>
              <w:top w:val="single" w:sz="4" w:space="0" w:color="7F7F7F"/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</w:t>
            </w:r>
          </w:p>
        </w:tc>
        <w:tc>
          <w:tcPr>
            <w:tcW w:w="1199" w:type="dxa"/>
            <w:tcBorders>
              <w:top w:val="single" w:sz="4" w:space="0" w:color="7F7F7F"/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 (km²)</w:t>
            </w:r>
          </w:p>
        </w:tc>
        <w:tc>
          <w:tcPr>
            <w:tcW w:w="1862" w:type="dxa"/>
            <w:tcBorders>
              <w:top w:val="single" w:sz="4" w:space="0" w:color="7F7F7F"/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Perimeter/Area ratio</w:t>
            </w:r>
          </w:p>
        </w:tc>
        <w:tc>
          <w:tcPr>
            <w:tcW w:w="938" w:type="dxa"/>
            <w:tcBorders>
              <w:top w:val="single" w:sz="4" w:space="0" w:color="7F7F7F"/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Veg. Str.</w:t>
            </w:r>
          </w:p>
        </w:tc>
        <w:tc>
          <w:tcPr>
            <w:tcW w:w="1277" w:type="dxa"/>
            <w:tcBorders>
              <w:top w:val="single" w:sz="4" w:space="0" w:color="7F7F7F"/>
              <w:bottom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Isolation (m)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14.686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340.714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1.653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1.401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33.032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2.021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0.883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1.095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20.247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2.066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1.026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5.328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13.163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1.001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326.982</w:t>
            </w:r>
          </w:p>
        </w:tc>
      </w:tr>
      <w:tr w:rsidR="00332A72">
        <w:trPr>
          <w:trHeight w:val="240"/>
        </w:trPr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0.458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2.193</w:t>
            </w:r>
          </w:p>
        </w:tc>
        <w:tc>
          <w:tcPr>
            <w:tcW w:w="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1.045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7.701</w:t>
            </w:r>
          </w:p>
        </w:tc>
      </w:tr>
      <w:tr w:rsidR="00332A72">
        <w:trPr>
          <w:trHeight w:val="240"/>
        </w:trPr>
        <w:tc>
          <w:tcPr>
            <w:tcW w:w="942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2.098</w:t>
            </w:r>
          </w:p>
        </w:tc>
        <w:tc>
          <w:tcPr>
            <w:tcW w:w="1862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3.495</w:t>
            </w:r>
          </w:p>
        </w:tc>
        <w:tc>
          <w:tcPr>
            <w:tcW w:w="938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209.967</w:t>
            </w:r>
          </w:p>
        </w:tc>
      </w:tr>
    </w:tbl>
    <w:p w:rsidR="00332A72" w:rsidRDefault="0033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72" w:rsidRDefault="0033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72" w:rsidRDefault="0033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72" w:rsidRDefault="0033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72" w:rsidRDefault="0033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A72" w:rsidRDefault="00814E7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Table A3.2. Landscape composition variables at each scale for each patch.</w:t>
      </w:r>
    </w:p>
    <w:p w:rsidR="00332A72" w:rsidRDefault="00332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036"/>
        <w:gridCol w:w="862"/>
        <w:gridCol w:w="864"/>
        <w:gridCol w:w="863"/>
        <w:gridCol w:w="863"/>
        <w:gridCol w:w="864"/>
        <w:gridCol w:w="863"/>
        <w:gridCol w:w="863"/>
        <w:gridCol w:w="864"/>
        <w:gridCol w:w="868"/>
      </w:tblGrid>
      <w:tr w:rsidR="00332A72">
        <w:trPr>
          <w:trHeight w:val="240"/>
        </w:trPr>
        <w:tc>
          <w:tcPr>
            <w:tcW w:w="624" w:type="dxa"/>
            <w:tcBorders>
              <w:top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</w:t>
            </w:r>
          </w:p>
        </w:tc>
        <w:tc>
          <w:tcPr>
            <w:tcW w:w="1035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</w:t>
            </w:r>
          </w:p>
        </w:tc>
        <w:tc>
          <w:tcPr>
            <w:tcW w:w="862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m</w:t>
            </w: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m</w:t>
            </w: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m</w:t>
            </w: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m</w:t>
            </w: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km</w:t>
            </w: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km</w:t>
            </w: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km</w:t>
            </w: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km</w:t>
            </w:r>
          </w:p>
        </w:tc>
        <w:tc>
          <w:tcPr>
            <w:tcW w:w="868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km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top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Habitat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0.484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0.476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0.419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0.318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0.263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0.607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Urban areas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0.265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0.436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0.474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0.353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0.892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0.895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0.909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0.255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0.937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0.428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0.522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0.531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0.542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0.542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0.648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0.871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Cropland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33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0.678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0.706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0.653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0.392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0.370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0.195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0.301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0.307</w:t>
            </w:r>
          </w:p>
        </w:tc>
      </w:tr>
      <w:tr w:rsidR="00332A72">
        <w:trPr>
          <w:trHeight w:val="240"/>
        </w:trPr>
        <w:tc>
          <w:tcPr>
            <w:tcW w:w="624" w:type="dxa"/>
            <w:tcBorders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62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64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863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863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864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863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863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864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868" w:type="dxa"/>
            <w:tcBorders>
              <w:bottom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A72" w:rsidRDefault="00814E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</w:tr>
    </w:tbl>
    <w:p w:rsidR="00332A72" w:rsidRDefault="00332A72">
      <w:pPr>
        <w:rPr>
          <w:rFonts w:ascii="Times New Roman" w:hAnsi="Times New Roman" w:cs="Times New Roman"/>
          <w:b/>
          <w:sz w:val="24"/>
          <w:szCs w:val="24"/>
        </w:rPr>
      </w:pPr>
    </w:p>
    <w:p w:rsidR="00332A72" w:rsidRDefault="00332A72">
      <w:pPr>
        <w:rPr>
          <w:rFonts w:ascii="Cambria" w:hAnsi="Cambria"/>
          <w:b/>
        </w:rPr>
      </w:pPr>
    </w:p>
    <w:p w:rsidR="00332A72" w:rsidRDefault="00332A72">
      <w:pPr>
        <w:rPr>
          <w:rFonts w:ascii="Cambria" w:hAnsi="Cambria"/>
        </w:rPr>
      </w:pPr>
    </w:p>
    <w:p w:rsidR="00332A72" w:rsidRDefault="00332A72">
      <w:pPr>
        <w:rPr>
          <w:rFonts w:ascii="Cambria" w:hAnsi="Cambria"/>
        </w:rPr>
      </w:pPr>
    </w:p>
    <w:p w:rsidR="00332A72" w:rsidRDefault="00332A72">
      <w:pPr>
        <w:rPr>
          <w:rFonts w:ascii="Cambria" w:hAnsi="Cambria"/>
        </w:rPr>
      </w:pPr>
    </w:p>
    <w:p w:rsidR="00332A72" w:rsidRDefault="00332A72"/>
    <w:sectPr w:rsidR="00332A72">
      <w:headerReference w:type="default" r:id="rId6"/>
      <w:footerReference w:type="default" r:id="rId7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12" w:rsidRDefault="00494E12">
      <w:pPr>
        <w:spacing w:after="0" w:line="240" w:lineRule="auto"/>
      </w:pPr>
      <w:r>
        <w:separator/>
      </w:r>
    </w:p>
  </w:endnote>
  <w:endnote w:type="continuationSeparator" w:id="0">
    <w:p w:rsidR="00494E12" w:rsidRDefault="0049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193117"/>
      <w:docPartObj>
        <w:docPartGallery w:val="Page Numbers (Bottom of Page)"/>
        <w:docPartUnique/>
      </w:docPartObj>
    </w:sdtPr>
    <w:sdtEndPr/>
    <w:sdtContent>
      <w:p w:rsidR="00110783" w:rsidRDefault="0011078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110783" w:rsidRDefault="001107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12" w:rsidRDefault="00494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4E12" w:rsidRDefault="0049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7C" w:rsidRPr="00C3357C" w:rsidRDefault="00C3357C" w:rsidP="00C3357C">
    <w:pPr>
      <w:pStyle w:val="Lauftitel"/>
      <w:rPr>
        <w:color w:val="auto"/>
      </w:rPr>
    </w:pPr>
    <w:r w:rsidRPr="00EC3A88">
      <w:rPr>
        <w:color w:val="auto"/>
      </w:rPr>
      <w:t>Online Supplementary data –</w:t>
    </w:r>
    <w:r w:rsidRPr="00EC3A88">
      <w:rPr>
        <w:smallCaps/>
        <w:color w:val="auto"/>
      </w:rPr>
      <w:t xml:space="preserve"> </w:t>
    </w:r>
    <w:r w:rsidRPr="00C3357C">
      <w:rPr>
        <w:smallCaps/>
        <w:color w:val="auto"/>
      </w:rPr>
      <w:t>Ana María Prieto-Ramírez</w:t>
    </w:r>
    <w:r>
      <w:rPr>
        <w:smallCaps/>
        <w:color w:val="auto"/>
      </w:rPr>
      <w:t xml:space="preserve"> </w:t>
    </w:r>
    <w:r w:rsidRPr="00EC3A88">
      <w:rPr>
        <w:color w:val="auto"/>
      </w:rPr>
      <w:t>et al.</w:t>
    </w:r>
    <w:r w:rsidRPr="00EC3A88">
      <w:rPr>
        <w:smallCaps/>
        <w:color w:val="auto"/>
      </w:rPr>
      <w:t xml:space="preserve">: </w:t>
    </w:r>
    <w:r w:rsidRPr="00C3357C">
      <w:rPr>
        <w:color w:val="auto"/>
      </w:rPr>
      <w:t xml:space="preserve">Effects of habitat loss on tick load in </w:t>
    </w:r>
    <w:r w:rsidRPr="00EC62A8">
      <w:rPr>
        <w:i/>
        <w:color w:val="auto"/>
      </w:rPr>
      <w:t xml:space="preserve">Lacerta </w:t>
    </w:r>
    <w:proofErr w:type="spellStart"/>
    <w:r w:rsidRPr="00EC62A8">
      <w:rPr>
        <w:i/>
        <w:color w:val="auto"/>
      </w:rPr>
      <w:t>viridis</w:t>
    </w:r>
    <w:proofErr w:type="spellEnd"/>
    <w:r w:rsidRPr="00EC3A88">
      <w:rPr>
        <w:color w:val="auto"/>
      </w:rPr>
      <w:t>. – Salamandra, 5</w:t>
    </w:r>
    <w:r>
      <w:rPr>
        <w:color w:val="auto"/>
      </w:rPr>
      <w:t>8</w:t>
    </w:r>
    <w:r w:rsidRPr="00EC3A88">
      <w:rPr>
        <w:color w:val="auto"/>
      </w:rPr>
      <w:t xml:space="preserve">: </w:t>
    </w:r>
    <w:r w:rsidRPr="00C3357C">
      <w:rPr>
        <w:color w:val="auto"/>
      </w:rPr>
      <w:t>263–274</w:t>
    </w:r>
  </w:p>
  <w:p w:rsidR="00C3357C" w:rsidRDefault="00C335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72"/>
    <w:rsid w:val="00110783"/>
    <w:rsid w:val="00332A72"/>
    <w:rsid w:val="00494E12"/>
    <w:rsid w:val="00814E74"/>
    <w:rsid w:val="00C3357C"/>
    <w:rsid w:val="00E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683D5-A0E7-47DB-A8F7-C44023B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berarbeitung">
    <w:name w:val="Revision"/>
    <w:pPr>
      <w:widowControl/>
      <w:spacing w:after="0" w:line="240" w:lineRule="auto"/>
    </w:p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3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57C"/>
  </w:style>
  <w:style w:type="paragraph" w:styleId="Fuzeile">
    <w:name w:val="footer"/>
    <w:basedOn w:val="Standard"/>
    <w:link w:val="FuzeileZchn"/>
    <w:uiPriority w:val="99"/>
    <w:unhideWhenUsed/>
    <w:rsid w:val="00C3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57C"/>
  </w:style>
  <w:style w:type="paragraph" w:customStyle="1" w:styleId="Lauftitel">
    <w:name w:val="Lauftitel"/>
    <w:basedOn w:val="Titel"/>
    <w:next w:val="Standard"/>
    <w:uiPriority w:val="99"/>
    <w:rsid w:val="00C3357C"/>
    <w:pPr>
      <w:tabs>
        <w:tab w:val="right" w:pos="283"/>
      </w:tabs>
      <w:autoSpaceDE w:val="0"/>
      <w:adjustRightInd w:val="0"/>
      <w:spacing w:line="288" w:lineRule="auto"/>
      <w:contextualSpacing w:val="0"/>
      <w:jc w:val="center"/>
      <w:textAlignment w:val="center"/>
    </w:pPr>
    <w:rPr>
      <w:rFonts w:ascii="Minion Pro" w:eastAsiaTheme="minorHAnsi" w:hAnsi="Minion Pro" w:cs="Minion Pro"/>
      <w:b/>
      <w:bCs/>
      <w:color w:val="000000"/>
      <w:spacing w:val="0"/>
      <w:kern w:val="0"/>
      <w:sz w:val="18"/>
      <w:szCs w:val="1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C33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Prieto Ramirez prietora</dc:creator>
  <cp:lastModifiedBy>Birgit</cp:lastModifiedBy>
  <cp:revision>4</cp:revision>
  <dcterms:created xsi:type="dcterms:W3CDTF">2022-11-02T08:49:00Z</dcterms:created>
  <dcterms:modified xsi:type="dcterms:W3CDTF">2022-11-02T08:56:00Z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