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D6" w:rsidRPr="008A73D6" w:rsidRDefault="008A73D6" w:rsidP="00727314">
      <w:pPr>
        <w:jc w:val="both"/>
        <w:rPr>
          <w:sz w:val="22"/>
          <w:szCs w:val="22"/>
        </w:rPr>
      </w:pPr>
      <w:r w:rsidRPr="008A73D6">
        <w:rPr>
          <w:sz w:val="22"/>
          <w:szCs w:val="22"/>
        </w:rPr>
        <w:t xml:space="preserve">Supplementary Table S1. Summary of locality information for samples of the </w:t>
      </w:r>
      <w:r w:rsidRPr="008A73D6">
        <w:rPr>
          <w:i/>
          <w:sz w:val="22"/>
          <w:szCs w:val="22"/>
        </w:rPr>
        <w:t>Uroplatus sikorae</w:t>
      </w:r>
      <w:r w:rsidRPr="008A73D6">
        <w:rPr>
          <w:sz w:val="22"/>
          <w:szCs w:val="22"/>
        </w:rPr>
        <w:t xml:space="preserve"> complex confirm</w:t>
      </w:r>
      <w:bookmarkStart w:id="0" w:name="_GoBack"/>
      <w:bookmarkEnd w:id="0"/>
      <w:r w:rsidRPr="008A73D6">
        <w:rPr>
          <w:sz w:val="22"/>
          <w:szCs w:val="22"/>
        </w:rPr>
        <w:t xml:space="preserve">ed by molecular data.  Note that the locality Manombo (for sample  M106B) was erroneously placed by Ratsoavina et al. (2013) to a site in the Anosy mountain chain, but refers to Manombo Classified Forest, adjacent to Manombo Special Reserve. Coordinates for this site herein are approximate as no specific GPS readings for the sampled specimen were taken.  </w:t>
      </w:r>
    </w:p>
    <w:p w:rsidR="008A73D6" w:rsidRPr="00C96AA2" w:rsidRDefault="008A73D6" w:rsidP="008A73D6">
      <w:pPr>
        <w:rPr>
          <w:sz w:val="16"/>
          <w:szCs w:val="16"/>
        </w:rPr>
      </w:pPr>
    </w:p>
    <w:tbl>
      <w:tblPr>
        <w:tblW w:w="0" w:type="auto"/>
        <w:tblInd w:w="78" w:type="dxa"/>
        <w:tblBorders>
          <w:top w:val="single" w:sz="4" w:space="0" w:color="auto"/>
          <w:bottom w:val="single" w:sz="4" w:space="0" w:color="auto"/>
        </w:tblBorders>
        <w:tblLook w:val="0000" w:firstRow="0" w:lastRow="0" w:firstColumn="0" w:lastColumn="0" w:noHBand="0" w:noVBand="0"/>
      </w:tblPr>
      <w:tblGrid>
        <w:gridCol w:w="1448"/>
        <w:gridCol w:w="3651"/>
        <w:gridCol w:w="951"/>
        <w:gridCol w:w="1007"/>
        <w:gridCol w:w="1212"/>
      </w:tblGrid>
      <w:tr w:rsidR="008A73D6" w:rsidRPr="00540D9C" w:rsidTr="005273AC">
        <w:trPr>
          <w:trHeight w:val="290"/>
        </w:trPr>
        <w:tc>
          <w:tcPr>
            <w:tcW w:w="1448" w:type="dxa"/>
            <w:tcBorders>
              <w:bottom w:val="single" w:sz="4" w:space="0" w:color="auto"/>
            </w:tcBorders>
          </w:tcPr>
          <w:p w:rsidR="008A73D6" w:rsidRPr="00540D9C" w:rsidRDefault="008A73D6" w:rsidP="005273AC">
            <w:pPr>
              <w:autoSpaceDE w:val="0"/>
              <w:autoSpaceDN w:val="0"/>
              <w:adjustRightInd w:val="0"/>
              <w:rPr>
                <w:rFonts w:eastAsia="Calibri"/>
                <w:b/>
                <w:bCs/>
                <w:color w:val="000000"/>
                <w:sz w:val="18"/>
                <w:szCs w:val="18"/>
                <w:lang w:eastAsia="de-DE"/>
              </w:rPr>
            </w:pPr>
            <w:r w:rsidRPr="00540D9C">
              <w:rPr>
                <w:rFonts w:eastAsia="Calibri"/>
                <w:b/>
                <w:bCs/>
                <w:color w:val="000000"/>
                <w:sz w:val="18"/>
                <w:szCs w:val="18"/>
                <w:lang w:eastAsia="de-DE"/>
              </w:rPr>
              <w:t>Lineage</w:t>
            </w:r>
          </w:p>
        </w:tc>
        <w:tc>
          <w:tcPr>
            <w:tcW w:w="3651" w:type="dxa"/>
            <w:tcBorders>
              <w:bottom w:val="single" w:sz="4" w:space="0" w:color="auto"/>
            </w:tcBorders>
          </w:tcPr>
          <w:p w:rsidR="008A73D6" w:rsidRPr="00540D9C" w:rsidRDefault="008A73D6" w:rsidP="005273AC">
            <w:pPr>
              <w:autoSpaceDE w:val="0"/>
              <w:autoSpaceDN w:val="0"/>
              <w:adjustRightInd w:val="0"/>
              <w:rPr>
                <w:rFonts w:eastAsia="Calibri"/>
                <w:b/>
                <w:bCs/>
                <w:color w:val="000000"/>
                <w:sz w:val="18"/>
                <w:szCs w:val="18"/>
                <w:lang w:eastAsia="de-DE"/>
              </w:rPr>
            </w:pPr>
            <w:r w:rsidRPr="00540D9C">
              <w:rPr>
                <w:rFonts w:eastAsia="Calibri"/>
                <w:b/>
                <w:bCs/>
                <w:color w:val="000000"/>
                <w:sz w:val="18"/>
                <w:szCs w:val="18"/>
                <w:lang w:eastAsia="de-DE"/>
              </w:rPr>
              <w:t>Locality</w:t>
            </w:r>
          </w:p>
        </w:tc>
        <w:tc>
          <w:tcPr>
            <w:tcW w:w="0" w:type="auto"/>
            <w:tcBorders>
              <w:bottom w:val="single" w:sz="4" w:space="0" w:color="auto"/>
            </w:tcBorders>
          </w:tcPr>
          <w:p w:rsidR="008A73D6" w:rsidRPr="00540D9C" w:rsidRDefault="008A73D6" w:rsidP="005273AC">
            <w:pPr>
              <w:autoSpaceDE w:val="0"/>
              <w:autoSpaceDN w:val="0"/>
              <w:adjustRightInd w:val="0"/>
              <w:rPr>
                <w:rFonts w:eastAsia="Calibri"/>
                <w:b/>
                <w:bCs/>
                <w:color w:val="000000"/>
                <w:sz w:val="18"/>
                <w:szCs w:val="18"/>
                <w:lang w:eastAsia="de-DE"/>
              </w:rPr>
            </w:pPr>
            <w:r w:rsidRPr="00540D9C">
              <w:rPr>
                <w:rFonts w:eastAsia="Calibri"/>
                <w:b/>
                <w:bCs/>
                <w:color w:val="000000"/>
                <w:sz w:val="18"/>
                <w:szCs w:val="18"/>
                <w:lang w:eastAsia="de-DE"/>
              </w:rPr>
              <w:t>Latitude</w:t>
            </w:r>
          </w:p>
        </w:tc>
        <w:tc>
          <w:tcPr>
            <w:tcW w:w="0" w:type="auto"/>
            <w:tcBorders>
              <w:bottom w:val="single" w:sz="4" w:space="0" w:color="auto"/>
            </w:tcBorders>
          </w:tcPr>
          <w:p w:rsidR="008A73D6" w:rsidRPr="00540D9C" w:rsidRDefault="008A73D6" w:rsidP="005273AC">
            <w:pPr>
              <w:autoSpaceDE w:val="0"/>
              <w:autoSpaceDN w:val="0"/>
              <w:adjustRightInd w:val="0"/>
              <w:rPr>
                <w:rFonts w:eastAsia="Calibri"/>
                <w:b/>
                <w:bCs/>
                <w:color w:val="000000"/>
                <w:sz w:val="18"/>
                <w:szCs w:val="18"/>
                <w:lang w:eastAsia="de-DE"/>
              </w:rPr>
            </w:pPr>
            <w:r w:rsidRPr="00540D9C">
              <w:rPr>
                <w:rFonts w:eastAsia="Calibri"/>
                <w:b/>
                <w:bCs/>
                <w:color w:val="000000"/>
                <w:sz w:val="18"/>
                <w:szCs w:val="18"/>
                <w:lang w:eastAsia="de-DE"/>
              </w:rPr>
              <w:t>Longitude</w:t>
            </w:r>
          </w:p>
        </w:tc>
        <w:tc>
          <w:tcPr>
            <w:tcW w:w="0" w:type="auto"/>
            <w:tcBorders>
              <w:bottom w:val="single" w:sz="4" w:space="0" w:color="auto"/>
            </w:tcBorders>
          </w:tcPr>
          <w:p w:rsidR="008A73D6" w:rsidRPr="00540D9C" w:rsidRDefault="008A73D6" w:rsidP="005273AC">
            <w:pPr>
              <w:autoSpaceDE w:val="0"/>
              <w:autoSpaceDN w:val="0"/>
              <w:adjustRightInd w:val="0"/>
              <w:rPr>
                <w:rFonts w:eastAsia="Calibri"/>
                <w:b/>
                <w:bCs/>
                <w:color w:val="000000"/>
                <w:sz w:val="18"/>
                <w:szCs w:val="18"/>
                <w:lang w:eastAsia="de-DE"/>
              </w:rPr>
            </w:pPr>
            <w:r w:rsidRPr="00540D9C">
              <w:rPr>
                <w:rFonts w:eastAsia="Calibri"/>
                <w:b/>
                <w:bCs/>
                <w:color w:val="000000"/>
                <w:sz w:val="18"/>
                <w:szCs w:val="18"/>
                <w:lang w:eastAsia="de-DE"/>
              </w:rPr>
              <w:t>Elevation</w:t>
            </w:r>
          </w:p>
        </w:tc>
      </w:tr>
      <w:tr w:rsidR="008A73D6" w:rsidRPr="00540D9C" w:rsidTr="005273AC">
        <w:trPr>
          <w:trHeight w:val="290"/>
        </w:trPr>
        <w:tc>
          <w:tcPr>
            <w:tcW w:w="1448" w:type="dxa"/>
            <w:tcBorders>
              <w:top w:val="single" w:sz="4" w:space="0" w:color="auto"/>
              <w:bottom w:val="nil"/>
            </w:tcBorders>
          </w:tcPr>
          <w:p w:rsidR="008A73D6" w:rsidRPr="00540D9C" w:rsidRDefault="008A73D6" w:rsidP="005273AC">
            <w:pPr>
              <w:autoSpaceDE w:val="0"/>
              <w:autoSpaceDN w:val="0"/>
              <w:adjustRightInd w:val="0"/>
              <w:rPr>
                <w:rFonts w:eastAsia="Calibri"/>
                <w:i/>
                <w:color w:val="000000"/>
                <w:sz w:val="18"/>
                <w:szCs w:val="18"/>
                <w:lang w:eastAsia="de-DE"/>
              </w:rPr>
            </w:pPr>
            <w:r w:rsidRPr="00540D9C">
              <w:rPr>
                <w:rFonts w:eastAsia="Calibri"/>
                <w:i/>
                <w:color w:val="000000"/>
                <w:sz w:val="18"/>
                <w:szCs w:val="18"/>
                <w:lang w:eastAsia="de-DE"/>
              </w:rPr>
              <w:t>U. sameiti</w:t>
            </w:r>
          </w:p>
        </w:tc>
        <w:tc>
          <w:tcPr>
            <w:tcW w:w="3651"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r>
      <w:tr w:rsidR="008A73D6" w:rsidRPr="00540D9C" w:rsidTr="005273AC">
        <w:trPr>
          <w:trHeight w:val="290"/>
        </w:trPr>
        <w:tc>
          <w:tcPr>
            <w:tcW w:w="1448"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sam13</w:t>
            </w:r>
          </w:p>
        </w:tc>
        <w:tc>
          <w:tcPr>
            <w:tcW w:w="3651"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Ambatoroma (Befanjana forest)</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NA</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NA</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NA</w:t>
            </w:r>
          </w:p>
        </w:tc>
      </w:tr>
      <w:tr w:rsidR="008A73D6" w:rsidRPr="00540D9C" w:rsidTr="005273AC">
        <w:trPr>
          <w:trHeight w:val="290"/>
        </w:trPr>
        <w:tc>
          <w:tcPr>
            <w:tcW w:w="1448" w:type="dxa"/>
            <w:tcBorders>
              <w:top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sam13</w:t>
            </w:r>
          </w:p>
        </w:tc>
        <w:tc>
          <w:tcPr>
            <w:tcW w:w="3651" w:type="dxa"/>
            <w:tcBorders>
              <w:top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Andakibe</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highlight w:val="red"/>
                <w:lang w:eastAsia="de-DE"/>
              </w:rPr>
            </w:pPr>
            <w:r w:rsidRPr="00540D9C">
              <w:rPr>
                <w:color w:val="221E1F"/>
                <w:sz w:val="18"/>
                <w:szCs w:val="18"/>
              </w:rPr>
              <w:t>-16.781</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highlight w:val="red"/>
                <w:lang w:eastAsia="de-DE"/>
              </w:rPr>
            </w:pPr>
            <w:r w:rsidRPr="00540D9C">
              <w:rPr>
                <w:color w:val="221E1F"/>
                <w:sz w:val="18"/>
                <w:szCs w:val="18"/>
              </w:rPr>
              <w:t>49.735</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NA</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sam13</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Nosy Boraha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-16.9173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49.87399</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68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sam13</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Nosy Mangabe</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-15.5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49.76666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153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sam13</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Tampolo</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-17.2887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49.41155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 xml:space="preserve"> Ambatofotsy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-19.5431</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48.316388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907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Ambodisavoka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-20.0571</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48.18066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667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Betampona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-17.8883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49.225108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200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Marolambo</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-20.0571</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48.18066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667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Sahafina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-18.8106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48.98033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56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Tanin Ny Betsileo</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-20.0575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48.18333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681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Vohibola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-18.6058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49.21383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19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sam14</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Vohimana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-18.9208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48.51583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774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Zahamena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-17.6667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48.83333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400–1500 m</w:t>
            </w:r>
          </w:p>
        </w:tc>
      </w:tr>
      <w:tr w:rsidR="008A73D6" w:rsidRPr="00540D9C" w:rsidTr="005273AC">
        <w:trPr>
          <w:trHeight w:val="290"/>
        </w:trPr>
        <w:tc>
          <w:tcPr>
            <w:tcW w:w="1448" w:type="dxa"/>
            <w:tcBorders>
              <w:bottom w:val="single" w:sz="4" w:space="0" w:color="auto"/>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sam16</w:t>
            </w:r>
          </w:p>
        </w:tc>
        <w:tc>
          <w:tcPr>
            <w:tcW w:w="3651" w:type="dxa"/>
            <w:tcBorders>
              <w:bottom w:val="single" w:sz="4" w:space="0" w:color="auto"/>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Analalava</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-13.6228</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49.9985</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50m</w:t>
            </w:r>
          </w:p>
        </w:tc>
      </w:tr>
      <w:tr w:rsidR="008A73D6" w:rsidRPr="00540D9C" w:rsidTr="005273AC">
        <w:trPr>
          <w:trHeight w:val="290"/>
        </w:trPr>
        <w:tc>
          <w:tcPr>
            <w:tcW w:w="1448" w:type="dxa"/>
            <w:tcBorders>
              <w:top w:val="single" w:sz="4" w:space="0" w:color="auto"/>
              <w:bottom w:val="nil"/>
            </w:tcBorders>
          </w:tcPr>
          <w:p w:rsidR="008A73D6" w:rsidRPr="00540D9C" w:rsidRDefault="008A73D6" w:rsidP="005273AC">
            <w:pPr>
              <w:autoSpaceDE w:val="0"/>
              <w:autoSpaceDN w:val="0"/>
              <w:adjustRightInd w:val="0"/>
              <w:rPr>
                <w:rFonts w:eastAsia="Calibri"/>
                <w:i/>
                <w:color w:val="000000"/>
                <w:sz w:val="18"/>
                <w:szCs w:val="18"/>
                <w:lang w:eastAsia="de-DE"/>
              </w:rPr>
            </w:pPr>
            <w:r w:rsidRPr="00540D9C">
              <w:rPr>
                <w:rFonts w:eastAsia="Calibri"/>
                <w:i/>
                <w:color w:val="000000"/>
                <w:sz w:val="18"/>
                <w:szCs w:val="18"/>
                <w:lang w:eastAsia="de-DE"/>
              </w:rPr>
              <w:t>U. sikorae</w:t>
            </w:r>
          </w:p>
        </w:tc>
        <w:tc>
          <w:tcPr>
            <w:tcW w:w="3651"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p>
        </w:tc>
      </w:tr>
      <w:tr w:rsidR="008A73D6" w:rsidRPr="00540D9C" w:rsidTr="005273AC">
        <w:trPr>
          <w:trHeight w:val="290"/>
        </w:trPr>
        <w:tc>
          <w:tcPr>
            <w:tcW w:w="1448"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w:t>
            </w:r>
          </w:p>
        </w:tc>
        <w:tc>
          <w:tcPr>
            <w:tcW w:w="3651" w:type="dxa"/>
            <w:tcBorders>
              <w:top w:val="single" w:sz="4" w:space="0" w:color="auto"/>
              <w:bottom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Ranomafana, RNP entrance</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-21.3575</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47.56722</w:t>
            </w:r>
          </w:p>
        </w:tc>
        <w:tc>
          <w:tcPr>
            <w:tcW w:w="0" w:type="auto"/>
            <w:tcBorders>
              <w:top w:val="single" w:sz="4" w:space="0" w:color="auto"/>
              <w:bottom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1013 m</w:t>
            </w:r>
          </w:p>
        </w:tc>
      </w:tr>
      <w:tr w:rsidR="008A73D6" w:rsidRPr="00540D9C" w:rsidTr="005273AC">
        <w:trPr>
          <w:trHeight w:val="290"/>
        </w:trPr>
        <w:tc>
          <w:tcPr>
            <w:tcW w:w="1448" w:type="dxa"/>
            <w:tcBorders>
              <w:top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w:t>
            </w:r>
          </w:p>
        </w:tc>
        <w:tc>
          <w:tcPr>
            <w:tcW w:w="3651" w:type="dxa"/>
            <w:tcBorders>
              <w:top w:val="nil"/>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Ranomafana, Talatakely</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-21.2514</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47.42447</w:t>
            </w:r>
          </w:p>
        </w:tc>
        <w:tc>
          <w:tcPr>
            <w:tcW w:w="0" w:type="auto"/>
            <w:tcBorders>
              <w:top w:val="nil"/>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921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sik2</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Andalangina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-21.2972</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47.60305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494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sik3</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Beampingaratra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-24.4635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46.88014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 xml:space="preserve">677 m </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sik3</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Manangotry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-24.7634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46.86264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279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sz w:val="18"/>
                <w:szCs w:val="18"/>
                <w:lang w:eastAsia="de-DE"/>
              </w:rPr>
            </w:pPr>
            <w:r w:rsidRPr="00540D9C">
              <w:rPr>
                <w:rFonts w:eastAsia="Calibri"/>
                <w:sz w:val="18"/>
                <w:szCs w:val="18"/>
                <w:lang w:eastAsia="de-DE"/>
              </w:rPr>
              <w:t>sik4</w:t>
            </w:r>
          </w:p>
        </w:tc>
        <w:tc>
          <w:tcPr>
            <w:tcW w:w="3651" w:type="dxa"/>
          </w:tcPr>
          <w:p w:rsidR="008A73D6" w:rsidRPr="00540D9C" w:rsidRDefault="008A73D6" w:rsidP="005273AC">
            <w:pPr>
              <w:autoSpaceDE w:val="0"/>
              <w:autoSpaceDN w:val="0"/>
              <w:adjustRightInd w:val="0"/>
              <w:rPr>
                <w:rFonts w:eastAsia="Calibri"/>
                <w:sz w:val="18"/>
                <w:szCs w:val="18"/>
                <w:lang w:eastAsia="de-DE"/>
              </w:rPr>
            </w:pPr>
            <w:r w:rsidRPr="00540D9C">
              <w:rPr>
                <w:rFonts w:eastAsia="Calibri"/>
                <w:sz w:val="18"/>
                <w:szCs w:val="18"/>
                <w:lang w:eastAsia="de-DE"/>
              </w:rPr>
              <w:t>Manombo</w:t>
            </w:r>
          </w:p>
        </w:tc>
        <w:tc>
          <w:tcPr>
            <w:tcW w:w="0" w:type="auto"/>
          </w:tcPr>
          <w:p w:rsidR="008A73D6" w:rsidRPr="00540D9C" w:rsidRDefault="008A73D6" w:rsidP="005273AC">
            <w:pPr>
              <w:autoSpaceDE w:val="0"/>
              <w:autoSpaceDN w:val="0"/>
              <w:adjustRightInd w:val="0"/>
              <w:jc w:val="right"/>
              <w:rPr>
                <w:rFonts w:eastAsia="Calibri"/>
                <w:sz w:val="18"/>
                <w:szCs w:val="18"/>
                <w:lang w:eastAsia="de-DE"/>
              </w:rPr>
            </w:pPr>
            <w:r w:rsidRPr="00540D9C">
              <w:rPr>
                <w:sz w:val="18"/>
                <w:szCs w:val="18"/>
              </w:rPr>
              <w:t>-23.021</w:t>
            </w:r>
          </w:p>
        </w:tc>
        <w:tc>
          <w:tcPr>
            <w:tcW w:w="0" w:type="auto"/>
          </w:tcPr>
          <w:p w:rsidR="008A73D6" w:rsidRPr="00540D9C" w:rsidRDefault="008A73D6" w:rsidP="005273AC">
            <w:pPr>
              <w:autoSpaceDE w:val="0"/>
              <w:autoSpaceDN w:val="0"/>
              <w:adjustRightInd w:val="0"/>
              <w:jc w:val="right"/>
              <w:rPr>
                <w:rFonts w:eastAsia="Calibri"/>
                <w:sz w:val="18"/>
                <w:szCs w:val="18"/>
                <w:lang w:eastAsia="de-DE"/>
              </w:rPr>
            </w:pPr>
            <w:r w:rsidRPr="00540D9C">
              <w:rPr>
                <w:sz w:val="18"/>
                <w:szCs w:val="18"/>
              </w:rPr>
              <w:t>47.666</w:t>
            </w:r>
          </w:p>
        </w:tc>
        <w:tc>
          <w:tcPr>
            <w:tcW w:w="0" w:type="auto"/>
          </w:tcPr>
          <w:p w:rsidR="008A73D6" w:rsidRPr="00540D9C" w:rsidRDefault="008A73D6" w:rsidP="005273AC">
            <w:pPr>
              <w:autoSpaceDE w:val="0"/>
              <w:autoSpaceDN w:val="0"/>
              <w:adjustRightInd w:val="0"/>
              <w:jc w:val="right"/>
              <w:rPr>
                <w:rFonts w:eastAsia="Calibri"/>
                <w:sz w:val="18"/>
                <w:szCs w:val="18"/>
                <w:lang w:eastAsia="de-DE"/>
              </w:rPr>
            </w:pPr>
            <w:r w:rsidRPr="00540D9C">
              <w:rPr>
                <w:rFonts w:eastAsia="Calibri"/>
                <w:sz w:val="18"/>
                <w:szCs w:val="18"/>
                <w:lang w:eastAsia="de-DE"/>
              </w:rPr>
              <w:t>15-65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Betaolona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-14.4055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49.3803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1260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Lohanandroranga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-14.4165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49.14758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1400–1800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Makira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-15.437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49.11861</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1005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Marojejy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-14.4333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49.76167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945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sik5</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Marotandrano</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-16.4154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48.44856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sik6</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Ampotsidy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-14.41590</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48.72195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1413</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sik7</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Ambatovy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-18.4736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48.20089</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1076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sik7</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Andasibe</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-18.9333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48.4167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1099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sik7</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Anjozorobe</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-18.4629</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47.93813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1297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sik7</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Fierenana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-18.4833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940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sik8</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Ambohitantely</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-18.1717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47.28167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1550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sik9</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Montagne d'Ambre</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-12.4833</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49.31666</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800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sik10</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Salafaina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-13.4459</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49.71238</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600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sik10</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Sorata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-13.6857</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49.44185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1300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sik11</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Manarikoba (Tsaratanana)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-14.04</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48.78389</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1042 m</w:t>
            </w:r>
          </w:p>
        </w:tc>
      </w:tr>
      <w:tr w:rsidR="008A73D6" w:rsidRPr="00540D9C" w:rsidTr="005273AC">
        <w:trPr>
          <w:trHeight w:val="290"/>
        </w:trPr>
        <w:tc>
          <w:tcPr>
            <w:tcW w:w="1448"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sik12</w:t>
            </w:r>
          </w:p>
        </w:tc>
        <w:tc>
          <w:tcPr>
            <w:tcW w:w="3651" w:type="dxa"/>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Andrafainkona, Ambararata</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-13.7221</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49.4385</w:t>
            </w:r>
          </w:p>
        </w:tc>
        <w:tc>
          <w:tcPr>
            <w:tcW w:w="0" w:type="auto"/>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776 m</w:t>
            </w:r>
          </w:p>
        </w:tc>
      </w:tr>
      <w:tr w:rsidR="008A73D6" w:rsidRPr="00540D9C" w:rsidTr="005273AC">
        <w:trPr>
          <w:trHeight w:val="290"/>
        </w:trPr>
        <w:tc>
          <w:tcPr>
            <w:tcW w:w="1448" w:type="dxa"/>
            <w:tcBorders>
              <w:bottom w:val="single" w:sz="4" w:space="0" w:color="auto"/>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sik12</w:t>
            </w:r>
          </w:p>
        </w:tc>
        <w:tc>
          <w:tcPr>
            <w:tcW w:w="3651" w:type="dxa"/>
            <w:tcBorders>
              <w:bottom w:val="single" w:sz="4" w:space="0" w:color="auto"/>
            </w:tcBorders>
          </w:tcPr>
          <w:p w:rsidR="008A73D6" w:rsidRPr="00540D9C" w:rsidRDefault="008A73D6" w:rsidP="005273AC">
            <w:pPr>
              <w:autoSpaceDE w:val="0"/>
              <w:autoSpaceDN w:val="0"/>
              <w:adjustRightInd w:val="0"/>
              <w:rPr>
                <w:rFonts w:eastAsia="Calibri"/>
                <w:color w:val="000000"/>
                <w:sz w:val="18"/>
                <w:szCs w:val="18"/>
                <w:lang w:eastAsia="de-DE"/>
              </w:rPr>
            </w:pPr>
            <w:r w:rsidRPr="00540D9C">
              <w:rPr>
                <w:rFonts w:eastAsia="Calibri"/>
                <w:color w:val="000000"/>
                <w:sz w:val="18"/>
                <w:szCs w:val="18"/>
                <w:lang w:eastAsia="de-DE"/>
              </w:rPr>
              <w:t>Ankitsika</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-13.8724</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49.78408</w:t>
            </w:r>
          </w:p>
        </w:tc>
        <w:tc>
          <w:tcPr>
            <w:tcW w:w="0" w:type="auto"/>
            <w:tcBorders>
              <w:bottom w:val="single" w:sz="4" w:space="0" w:color="auto"/>
            </w:tcBorders>
          </w:tcPr>
          <w:p w:rsidR="008A73D6" w:rsidRPr="00540D9C" w:rsidRDefault="008A73D6" w:rsidP="005273AC">
            <w:pPr>
              <w:autoSpaceDE w:val="0"/>
              <w:autoSpaceDN w:val="0"/>
              <w:adjustRightInd w:val="0"/>
              <w:jc w:val="right"/>
              <w:rPr>
                <w:rFonts w:eastAsia="Calibri"/>
                <w:color w:val="000000"/>
                <w:sz w:val="18"/>
                <w:szCs w:val="18"/>
                <w:lang w:eastAsia="de-DE"/>
              </w:rPr>
            </w:pPr>
            <w:r w:rsidRPr="00540D9C">
              <w:rPr>
                <w:rFonts w:eastAsia="Calibri"/>
                <w:color w:val="000000"/>
                <w:sz w:val="18"/>
                <w:szCs w:val="18"/>
                <w:lang w:eastAsia="de-DE"/>
              </w:rPr>
              <w:t>830 m</w:t>
            </w:r>
          </w:p>
        </w:tc>
      </w:tr>
    </w:tbl>
    <w:p w:rsidR="00957B4D" w:rsidRPr="00686F45" w:rsidRDefault="00957B4D" w:rsidP="00686F45">
      <w:pPr>
        <w:tabs>
          <w:tab w:val="left" w:pos="1089"/>
        </w:tabs>
        <w:rPr>
          <w:sz w:val="2"/>
          <w:szCs w:val="2"/>
        </w:rPr>
      </w:pPr>
    </w:p>
    <w:sectPr w:rsidR="00957B4D" w:rsidRPr="00686F45" w:rsidSect="008A73D6">
      <w:headerReference w:type="default" r:id="rId6"/>
      <w:pgSz w:w="11906" w:h="16838"/>
      <w:pgMar w:top="42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DA" w:rsidRDefault="00D110DA" w:rsidP="008A73D6">
      <w:r>
        <w:separator/>
      </w:r>
    </w:p>
  </w:endnote>
  <w:endnote w:type="continuationSeparator" w:id="0">
    <w:p w:rsidR="00D110DA" w:rsidRDefault="00D110DA" w:rsidP="008A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DA" w:rsidRDefault="00D110DA" w:rsidP="008A73D6">
      <w:r>
        <w:separator/>
      </w:r>
    </w:p>
  </w:footnote>
  <w:footnote w:type="continuationSeparator" w:id="0">
    <w:p w:rsidR="00D110DA" w:rsidRDefault="00D110DA" w:rsidP="008A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D6" w:rsidRPr="00C96AA2" w:rsidRDefault="008A73D6" w:rsidP="00C96AA2">
    <w:pPr>
      <w:pStyle w:val="KeinAbsatzformat"/>
      <w:tabs>
        <w:tab w:val="right" w:pos="283"/>
      </w:tabs>
      <w:spacing w:line="264" w:lineRule="auto"/>
      <w:jc w:val="center"/>
      <w:rPr>
        <w:rFonts w:ascii="Times New Roman" w:hAnsi="Times New Roman" w:cs="Times New Roman"/>
        <w:lang w:val="en-US"/>
      </w:rPr>
    </w:pPr>
    <w:r w:rsidRPr="00C96AA2">
      <w:rPr>
        <w:rFonts w:ascii="Times New Roman" w:hAnsi="Times New Roman" w:cs="Times New Roman"/>
        <w:lang w:val="en-US"/>
      </w:rPr>
      <w:t xml:space="preserve">Online Supplementary data – </w:t>
    </w:r>
    <w:r w:rsidRPr="00C96AA2">
      <w:rPr>
        <w:rFonts w:ascii="Times New Roman" w:hAnsi="Times New Roman" w:cs="Times New Roman"/>
        <w:smallCaps/>
        <w:lang w:val="en-US"/>
      </w:rPr>
      <w:t>Philip-Sebastian Gehring</w:t>
    </w:r>
    <w:r w:rsidRPr="00C96AA2">
      <w:rPr>
        <w:rFonts w:ascii="Times New Roman" w:hAnsi="Times New Roman" w:cs="Times New Roman"/>
        <w:lang w:val="en-US"/>
      </w:rPr>
      <w:t xml:space="preserve"> et al.: High diversity of deep mitochondrial lineages meets low morphological distinctiveness – insights into the complex </w:t>
    </w:r>
    <w:proofErr w:type="spellStart"/>
    <w:r w:rsidRPr="00C96AA2">
      <w:rPr>
        <w:rFonts w:ascii="Times New Roman" w:hAnsi="Times New Roman" w:cs="Times New Roman"/>
        <w:lang w:val="en-US"/>
      </w:rPr>
      <w:t>phylogeography</w:t>
    </w:r>
    <w:proofErr w:type="spellEnd"/>
    <w:r w:rsidRPr="00C96AA2">
      <w:rPr>
        <w:rFonts w:ascii="Times New Roman" w:hAnsi="Times New Roman" w:cs="Times New Roman"/>
        <w:lang w:val="en-US"/>
      </w:rPr>
      <w:t xml:space="preserve"> of the Malagasy leaf-tailed geckos </w:t>
    </w:r>
    <w:proofErr w:type="spellStart"/>
    <w:r w:rsidRPr="00C96AA2">
      <w:rPr>
        <w:rFonts w:ascii="Times New Roman" w:hAnsi="Times New Roman" w:cs="Times New Roman"/>
        <w:i/>
        <w:iCs/>
        <w:lang w:val="en-US"/>
      </w:rPr>
      <w:t>Uroplatus</w:t>
    </w:r>
    <w:proofErr w:type="spellEnd"/>
    <w:r w:rsidRPr="00C96AA2">
      <w:rPr>
        <w:rFonts w:ascii="Times New Roman" w:hAnsi="Times New Roman" w:cs="Times New Roman"/>
        <w:i/>
        <w:iCs/>
        <w:lang w:val="en-US"/>
      </w:rPr>
      <w:t xml:space="preserve"> </w:t>
    </w:r>
    <w:proofErr w:type="spellStart"/>
    <w:r w:rsidRPr="00C96AA2">
      <w:rPr>
        <w:rFonts w:ascii="Times New Roman" w:hAnsi="Times New Roman" w:cs="Times New Roman"/>
        <w:i/>
        <w:iCs/>
        <w:lang w:val="en-US"/>
      </w:rPr>
      <w:t>sikorae</w:t>
    </w:r>
    <w:proofErr w:type="spellEnd"/>
    <w:r w:rsidRPr="00C96AA2">
      <w:rPr>
        <w:rFonts w:ascii="Times New Roman" w:hAnsi="Times New Roman" w:cs="Times New Roman"/>
        <w:lang w:val="en-US"/>
      </w:rPr>
      <w:t xml:space="preserve"> and </w:t>
    </w:r>
    <w:r w:rsidRPr="00C96AA2">
      <w:rPr>
        <w:rFonts w:ascii="Times New Roman" w:hAnsi="Times New Roman" w:cs="Times New Roman"/>
        <w:i/>
        <w:iCs/>
        <w:lang w:val="en-US"/>
      </w:rPr>
      <w:t xml:space="preserve">U. </w:t>
    </w:r>
    <w:proofErr w:type="spellStart"/>
    <w:r w:rsidRPr="00C96AA2">
      <w:rPr>
        <w:rFonts w:ascii="Times New Roman" w:hAnsi="Times New Roman" w:cs="Times New Roman"/>
        <w:i/>
        <w:iCs/>
        <w:lang w:val="en-US"/>
      </w:rPr>
      <w:t>sameiti</w:t>
    </w:r>
    <w:proofErr w:type="spellEnd"/>
    <w:r w:rsidRPr="00C96AA2">
      <w:rPr>
        <w:rFonts w:ascii="Times New Roman" w:hAnsi="Times New Roman" w:cs="Times New Roman"/>
        <w:lang w:val="en-US"/>
      </w:rPr>
      <w:t xml:space="preserve">. – Salamandra, </w:t>
    </w:r>
    <w:r w:rsidRPr="00C96AA2">
      <w:rPr>
        <w:rFonts w:ascii="Times New Roman" w:hAnsi="Times New Roman" w:cs="Times New Roman"/>
        <w:b/>
        <w:lang w:val="en-US"/>
      </w:rPr>
      <w:t>59</w:t>
    </w:r>
    <w:r w:rsidRPr="00C96AA2">
      <w:rPr>
        <w:rFonts w:ascii="Times New Roman" w:hAnsi="Times New Roman" w:cs="Times New Roman"/>
        <w:lang w:val="en-US"/>
      </w:rPr>
      <w:t xml:space="preserve">: </w:t>
    </w:r>
    <w:r w:rsidR="00C96AA2" w:rsidRPr="00C96AA2">
      <w:rPr>
        <w:rFonts w:ascii="Times New Roman" w:hAnsi="Times New Roman" w:cs="Times New Roman"/>
        <w:lang w:val="en-US"/>
      </w:rPr>
      <w:t>158–178</w:t>
    </w:r>
  </w:p>
  <w:p w:rsidR="008A73D6" w:rsidRDefault="008A73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D6"/>
    <w:rsid w:val="00394623"/>
    <w:rsid w:val="00445C75"/>
    <w:rsid w:val="00540D9C"/>
    <w:rsid w:val="00686F45"/>
    <w:rsid w:val="00727314"/>
    <w:rsid w:val="008A73D6"/>
    <w:rsid w:val="00957B4D"/>
    <w:rsid w:val="00A1033E"/>
    <w:rsid w:val="00C96AA2"/>
    <w:rsid w:val="00D11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BCDE3"/>
  <w15:chartTrackingRefBased/>
  <w15:docId w15:val="{D8E787CE-910A-43EF-98CB-42BEFED5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73D6"/>
    <w:pPr>
      <w:spacing w:after="0" w:line="240" w:lineRule="auto"/>
    </w:pPr>
    <w:rPr>
      <w:rFonts w:ascii="Times New Roman" w:eastAsia="Times New Roman" w:hAnsi="Times New Roman" w:cs="Times New Roman"/>
      <w:noProof/>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7">
    <w:name w:val="Pa7"/>
    <w:basedOn w:val="Standard"/>
    <w:next w:val="Standard"/>
    <w:uiPriority w:val="99"/>
    <w:rsid w:val="008A73D6"/>
    <w:pPr>
      <w:autoSpaceDE w:val="0"/>
      <w:autoSpaceDN w:val="0"/>
      <w:adjustRightInd w:val="0"/>
      <w:spacing w:line="181" w:lineRule="atLeast"/>
    </w:pPr>
    <w:rPr>
      <w:rFonts w:ascii="Minion Pro" w:eastAsia="Calibri" w:hAnsi="Minion Pro"/>
      <w:noProof w:val="0"/>
      <w:lang w:val="en-US" w:eastAsia="de-DE"/>
    </w:rPr>
  </w:style>
  <w:style w:type="paragraph" w:styleId="Kopfzeile">
    <w:name w:val="header"/>
    <w:basedOn w:val="Standard"/>
    <w:link w:val="KopfzeileZchn"/>
    <w:uiPriority w:val="99"/>
    <w:unhideWhenUsed/>
    <w:rsid w:val="008A73D6"/>
    <w:pPr>
      <w:tabs>
        <w:tab w:val="center" w:pos="4536"/>
        <w:tab w:val="right" w:pos="9072"/>
      </w:tabs>
    </w:pPr>
  </w:style>
  <w:style w:type="character" w:customStyle="1" w:styleId="KopfzeileZchn">
    <w:name w:val="Kopfzeile Zchn"/>
    <w:basedOn w:val="Absatz-Standardschriftart"/>
    <w:link w:val="Kopfzeile"/>
    <w:uiPriority w:val="99"/>
    <w:rsid w:val="008A73D6"/>
    <w:rPr>
      <w:rFonts w:ascii="Times New Roman" w:eastAsia="Times New Roman" w:hAnsi="Times New Roman" w:cs="Times New Roman"/>
      <w:noProof/>
      <w:sz w:val="24"/>
      <w:szCs w:val="24"/>
      <w:lang w:val="en-GB"/>
    </w:rPr>
  </w:style>
  <w:style w:type="paragraph" w:styleId="Fuzeile">
    <w:name w:val="footer"/>
    <w:basedOn w:val="Standard"/>
    <w:link w:val="FuzeileZchn"/>
    <w:uiPriority w:val="99"/>
    <w:unhideWhenUsed/>
    <w:rsid w:val="008A73D6"/>
    <w:pPr>
      <w:tabs>
        <w:tab w:val="center" w:pos="4536"/>
        <w:tab w:val="right" w:pos="9072"/>
      </w:tabs>
    </w:pPr>
  </w:style>
  <w:style w:type="character" w:customStyle="1" w:styleId="FuzeileZchn">
    <w:name w:val="Fußzeile Zchn"/>
    <w:basedOn w:val="Absatz-Standardschriftart"/>
    <w:link w:val="Fuzeile"/>
    <w:uiPriority w:val="99"/>
    <w:rsid w:val="008A73D6"/>
    <w:rPr>
      <w:rFonts w:ascii="Times New Roman" w:eastAsia="Times New Roman" w:hAnsi="Times New Roman" w:cs="Times New Roman"/>
      <w:noProof/>
      <w:sz w:val="24"/>
      <w:szCs w:val="24"/>
      <w:lang w:val="en-GB"/>
    </w:rPr>
  </w:style>
  <w:style w:type="paragraph" w:customStyle="1" w:styleId="KeinAbsatzformat">
    <w:name w:val="[Kein Absatzformat]"/>
    <w:rsid w:val="00C96AA2"/>
    <w:pPr>
      <w:autoSpaceDE w:val="0"/>
      <w:autoSpaceDN w:val="0"/>
      <w:adjustRightInd w:val="0"/>
      <w:spacing w:after="0" w:line="288" w:lineRule="auto"/>
      <w:textAlignment w:val="center"/>
    </w:pPr>
    <w:rPr>
      <w:rFonts w:ascii="Times  Roman" w:hAnsi="Times  Roman" w:cs="Times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Gehring</dc:creator>
  <cp:keywords/>
  <dc:description/>
  <cp:lastModifiedBy>Birgit</cp:lastModifiedBy>
  <cp:revision>5</cp:revision>
  <dcterms:created xsi:type="dcterms:W3CDTF">2023-03-26T22:11:00Z</dcterms:created>
  <dcterms:modified xsi:type="dcterms:W3CDTF">2023-05-08T14:27:00Z</dcterms:modified>
</cp:coreProperties>
</file>